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E51D1" w:rsidP="009E51D1" w:rsidRDefault="009E51D1" w14:paraId="0F52C219" w14:textId="2A294585">
      <w:pPr/>
    </w:p>
    <w:p w:rsidRPr="009E51D1" w:rsidR="009E51D1" w:rsidP="009E51D1" w:rsidRDefault="009E51D1" w14:paraId="651BE9E3" w14:textId="37236C9B">
      <w:pPr>
        <w:spacing w:after="120"/>
        <w:rPr>
          <w:rFonts w:ascii="Times New Roman" w:hAnsi="Times New Roman" w:cs="Times New Roman"/>
          <w:sz w:val="22"/>
          <w:szCs w:val="22"/>
        </w:rPr>
      </w:pPr>
      <w:r w:rsidRPr="248CDD55" w:rsidR="40F31474">
        <w:rPr>
          <w:rFonts w:ascii="Times New Roman" w:hAnsi="Times New Roman" w:cs="Times New Roman"/>
          <w:sz w:val="22"/>
          <w:szCs w:val="22"/>
        </w:rPr>
        <w:t xml:space="preserve">The Advisory Council on Historic Preservation (ACHP) has proposed sweeping revisions to the regulations found at 36 CFR 800 implementing the Section 106 process. The Section 106 process is the procedure under which Federal Agencies </w:t>
      </w:r>
      <w:r w:rsidRPr="248CDD55" w:rsidR="40F31474">
        <w:rPr>
          <w:rFonts w:ascii="Times New Roman" w:hAnsi="Times New Roman" w:cs="Times New Roman"/>
          <w:sz w:val="22"/>
          <w:szCs w:val="22"/>
        </w:rPr>
        <w:t>take into account</w:t>
      </w:r>
      <w:r w:rsidRPr="248CDD55" w:rsidR="40F31474">
        <w:rPr>
          <w:rFonts w:ascii="Times New Roman" w:hAnsi="Times New Roman" w:cs="Times New Roman"/>
          <w:sz w:val="22"/>
          <w:szCs w:val="22"/>
        </w:rPr>
        <w:t xml:space="preserve"> the effects of their actions on historic properties and is a requirement within the National Historic Preservation Act (Title 54 U.S.C. Subtitle III). In addition to many procedural changes, the proposal fundamentally alters the intent of the NHPA which was to provide input into </w:t>
      </w:r>
      <w:r w:rsidRPr="248CDD55" w:rsidR="0DC68FCE">
        <w:rPr>
          <w:rFonts w:ascii="Times New Roman" w:hAnsi="Times New Roman" w:cs="Times New Roman"/>
          <w:sz w:val="22"/>
          <w:szCs w:val="22"/>
        </w:rPr>
        <w:t>F</w:t>
      </w:r>
      <w:r w:rsidRPr="248CDD55" w:rsidR="40F31474">
        <w:rPr>
          <w:rFonts w:ascii="Times New Roman" w:hAnsi="Times New Roman" w:cs="Times New Roman"/>
          <w:sz w:val="22"/>
          <w:szCs w:val="22"/>
        </w:rPr>
        <w:t xml:space="preserve">ederal decision-making and to assure Agencies properly </w:t>
      </w:r>
      <w:r w:rsidRPr="248CDD55" w:rsidR="40F31474">
        <w:rPr>
          <w:rFonts w:ascii="Times New Roman" w:hAnsi="Times New Roman" w:cs="Times New Roman"/>
          <w:sz w:val="22"/>
          <w:szCs w:val="22"/>
        </w:rPr>
        <w:t>take into account</w:t>
      </w:r>
      <w:r w:rsidRPr="248CDD55" w:rsidR="40F31474">
        <w:rPr>
          <w:rFonts w:ascii="Times New Roman" w:hAnsi="Times New Roman" w:cs="Times New Roman"/>
          <w:sz w:val="22"/>
          <w:szCs w:val="22"/>
        </w:rPr>
        <w:t xml:space="preserve"> the effects of their actions upon historic properties.</w:t>
      </w:r>
    </w:p>
    <w:p w:rsidRPr="009E51D1" w:rsidR="009E51D1" w:rsidP="00EC52A8" w:rsidRDefault="009E51D1" w14:paraId="7AE897E8" w14:textId="5E6F7357">
      <w:pPr>
        <w:numPr>
          <w:ilvl w:val="0"/>
          <w:numId w:val="1"/>
        </w:numPr>
        <w:spacing w:after="0"/>
        <w:ind w:left="360"/>
        <w:rPr>
          <w:rFonts w:ascii="Times New Roman" w:hAnsi="Times New Roman" w:cs="Times New Roman"/>
          <w:sz w:val="22"/>
          <w:szCs w:val="22"/>
        </w:rPr>
      </w:pPr>
      <w:r w:rsidRPr="248CDD55" w:rsidR="40F31474">
        <w:rPr>
          <w:rFonts w:ascii="Times New Roman" w:hAnsi="Times New Roman" w:cs="Times New Roman"/>
          <w:sz w:val="22"/>
          <w:szCs w:val="22"/>
        </w:rPr>
        <w:t xml:space="preserve">The proposed rule </w:t>
      </w:r>
      <w:r w:rsidRPr="248CDD55" w:rsidR="40F31474">
        <w:rPr>
          <w:rFonts w:ascii="Times New Roman" w:hAnsi="Times New Roman" w:cs="Times New Roman"/>
          <w:sz w:val="22"/>
          <w:szCs w:val="22"/>
        </w:rPr>
        <w:t>eliminates</w:t>
      </w:r>
      <w:r w:rsidRPr="248CDD55" w:rsidR="40F31474">
        <w:rPr>
          <w:rFonts w:ascii="Times New Roman" w:hAnsi="Times New Roman" w:cs="Times New Roman"/>
          <w:sz w:val="22"/>
          <w:szCs w:val="22"/>
        </w:rPr>
        <w:t xml:space="preserve"> </w:t>
      </w:r>
      <w:r w:rsidRPr="248CDD55" w:rsidR="77F10277">
        <w:rPr>
          <w:rFonts w:ascii="Times New Roman" w:hAnsi="Times New Roman" w:cs="Times New Roman"/>
          <w:sz w:val="22"/>
          <w:szCs w:val="22"/>
        </w:rPr>
        <w:t>mandat</w:t>
      </w:r>
      <w:r w:rsidRPr="248CDD55" w:rsidR="40F31474">
        <w:rPr>
          <w:rFonts w:ascii="Times New Roman" w:hAnsi="Times New Roman" w:cs="Times New Roman"/>
          <w:sz w:val="22"/>
          <w:szCs w:val="22"/>
        </w:rPr>
        <w:t xml:space="preserve">ed consultation with states, specifically </w:t>
      </w:r>
      <w:r w:rsidRPr="248CDD55" w:rsidR="40E1746D">
        <w:rPr>
          <w:rFonts w:ascii="Times New Roman" w:hAnsi="Times New Roman" w:cs="Times New Roman"/>
          <w:sz w:val="22"/>
          <w:szCs w:val="22"/>
        </w:rPr>
        <w:t xml:space="preserve">removing </w:t>
      </w:r>
      <w:r w:rsidRPr="248CDD55" w:rsidR="40F31474">
        <w:rPr>
          <w:rFonts w:ascii="Times New Roman" w:hAnsi="Times New Roman" w:cs="Times New Roman"/>
          <w:sz w:val="22"/>
          <w:szCs w:val="22"/>
        </w:rPr>
        <w:t>the opportunity for State Historic Preservation Offices (SHPOs) to provide guidance to Federal Agencies</w:t>
      </w:r>
      <w:r w:rsidRPr="248CDD55" w:rsidR="2545F0E4">
        <w:rPr>
          <w:rFonts w:ascii="Times New Roman" w:hAnsi="Times New Roman" w:cs="Times New Roman"/>
          <w:sz w:val="22"/>
          <w:szCs w:val="22"/>
        </w:rPr>
        <w:t xml:space="preserve"> on how best to </w:t>
      </w:r>
      <w:r w:rsidRPr="248CDD55" w:rsidR="2545F0E4">
        <w:rPr>
          <w:rFonts w:ascii="Times New Roman" w:hAnsi="Times New Roman" w:cs="Times New Roman"/>
          <w:sz w:val="22"/>
          <w:szCs w:val="22"/>
        </w:rPr>
        <w:t>comply with</w:t>
      </w:r>
      <w:r w:rsidRPr="248CDD55" w:rsidR="2545F0E4">
        <w:rPr>
          <w:rFonts w:ascii="Times New Roman" w:hAnsi="Times New Roman" w:cs="Times New Roman"/>
          <w:sz w:val="22"/>
          <w:szCs w:val="22"/>
        </w:rPr>
        <w:t xml:space="preserve"> the NHPA</w:t>
      </w:r>
      <w:r w:rsidRPr="248CDD55" w:rsidR="40F31474">
        <w:rPr>
          <w:rFonts w:ascii="Times New Roman" w:hAnsi="Times New Roman" w:cs="Times New Roman"/>
          <w:sz w:val="22"/>
          <w:szCs w:val="22"/>
        </w:rPr>
        <w:t xml:space="preserve"> </w:t>
      </w:r>
      <w:r w:rsidRPr="248CDD55" w:rsidR="40F31474">
        <w:rPr>
          <w:rFonts w:ascii="Times New Roman" w:hAnsi="Times New Roman" w:cs="Times New Roman"/>
          <w:sz w:val="22"/>
          <w:szCs w:val="22"/>
        </w:rPr>
        <w:t xml:space="preserve">and </w:t>
      </w:r>
      <w:r w:rsidRPr="248CDD55" w:rsidR="7CAD275B">
        <w:rPr>
          <w:rFonts w:ascii="Times New Roman" w:hAnsi="Times New Roman" w:cs="Times New Roman"/>
          <w:sz w:val="22"/>
          <w:szCs w:val="22"/>
        </w:rPr>
        <w:t xml:space="preserve">the requirement </w:t>
      </w:r>
      <w:r w:rsidRPr="248CDD55" w:rsidR="40F31474">
        <w:rPr>
          <w:rFonts w:ascii="Times New Roman" w:hAnsi="Times New Roman" w:cs="Times New Roman"/>
          <w:sz w:val="22"/>
          <w:szCs w:val="22"/>
        </w:rPr>
        <w:t xml:space="preserve">for Federal Agencies to seek SHPO concurrence with their decisions. The proposed elimination of consultation with SHPOs is contrary to 54 U.S.C. § 302303(b), which empowers SHPOs with their own statutory authorities and roles in Section 106 compliance, including a responsibility to “consult with appropriate Federal agencies in accordance with this division on the content and sufficiency of any plans developed to protect, manage, or reduce or mitigate harm to that property.” </w:t>
      </w:r>
    </w:p>
    <w:p w:rsidRPr="009E51D1" w:rsidR="009E51D1" w:rsidP="00EC52A8" w:rsidRDefault="009E51D1" w14:paraId="48189571" w14:textId="6C604DD5">
      <w:pPr>
        <w:numPr>
          <w:ilvl w:val="0"/>
          <w:numId w:val="1"/>
        </w:numPr>
        <w:spacing w:after="0"/>
        <w:ind w:left="360"/>
        <w:rPr>
          <w:rFonts w:ascii="Times New Roman" w:hAnsi="Times New Roman" w:cs="Times New Roman"/>
          <w:sz w:val="22"/>
          <w:szCs w:val="22"/>
        </w:rPr>
      </w:pPr>
      <w:r w:rsidRPr="1B1B0074" w:rsidR="40F31474">
        <w:rPr>
          <w:rFonts w:ascii="Times New Roman" w:hAnsi="Times New Roman" w:cs="Times New Roman"/>
          <w:sz w:val="22"/>
          <w:szCs w:val="22"/>
        </w:rPr>
        <w:t xml:space="preserve">The proposed rule </w:t>
      </w:r>
      <w:r w:rsidRPr="1B1B0074" w:rsidR="40F31474">
        <w:rPr>
          <w:rFonts w:ascii="Times New Roman" w:hAnsi="Times New Roman" w:cs="Times New Roman"/>
          <w:sz w:val="22"/>
          <w:szCs w:val="22"/>
        </w:rPr>
        <w:t>eliminates</w:t>
      </w:r>
      <w:r w:rsidRPr="1B1B0074" w:rsidR="40F31474">
        <w:rPr>
          <w:rFonts w:ascii="Times New Roman" w:hAnsi="Times New Roman" w:cs="Times New Roman"/>
          <w:sz w:val="22"/>
          <w:szCs w:val="22"/>
        </w:rPr>
        <w:t xml:space="preserve"> required consultation with local governments, making consultation</w:t>
      </w:r>
      <w:r w:rsidRPr="1B1B0074" w:rsidR="3C70A153">
        <w:rPr>
          <w:rFonts w:ascii="Times New Roman" w:hAnsi="Times New Roman" w:cs="Times New Roman"/>
          <w:sz w:val="22"/>
          <w:szCs w:val="22"/>
        </w:rPr>
        <w:t xml:space="preserve"> with affected localities</w:t>
      </w:r>
      <w:r w:rsidRPr="1B1B0074" w:rsidR="40F31474">
        <w:rPr>
          <w:rFonts w:ascii="Times New Roman" w:hAnsi="Times New Roman" w:cs="Times New Roman"/>
          <w:sz w:val="22"/>
          <w:szCs w:val="22"/>
        </w:rPr>
        <w:t xml:space="preserve"> optional at the discretion of the Federal Agency. The removal of the requirement to consult with local governments is inconsistent with 54 U.S.C. § 304108. </w:t>
      </w:r>
    </w:p>
    <w:p w:rsidRPr="009E51D1" w:rsidR="009E51D1" w:rsidP="00EC52A8" w:rsidRDefault="009E51D1" w14:paraId="7229FB1F" w14:textId="72939F53">
      <w:pPr>
        <w:numPr>
          <w:ilvl w:val="0"/>
          <w:numId w:val="1"/>
        </w:numPr>
        <w:spacing w:after="0"/>
        <w:ind w:left="360"/>
        <w:rPr>
          <w:rFonts w:ascii="Times New Roman" w:hAnsi="Times New Roman" w:cs="Times New Roman"/>
          <w:sz w:val="22"/>
          <w:szCs w:val="22"/>
        </w:rPr>
      </w:pPr>
      <w:r w:rsidRPr="1B1B0074" w:rsidR="40F31474">
        <w:rPr>
          <w:rFonts w:ascii="Times New Roman" w:hAnsi="Times New Roman" w:cs="Times New Roman"/>
          <w:sz w:val="22"/>
          <w:szCs w:val="22"/>
        </w:rPr>
        <w:t>By making public input discretion</w:t>
      </w:r>
      <w:r w:rsidRPr="1B1B0074" w:rsidR="6C1279EF">
        <w:rPr>
          <w:rFonts w:ascii="Times New Roman" w:hAnsi="Times New Roman" w:cs="Times New Roman"/>
          <w:sz w:val="22"/>
          <w:szCs w:val="22"/>
        </w:rPr>
        <w:t>ary</w:t>
      </w:r>
      <w:r w:rsidRPr="1B1B0074" w:rsidR="40F31474">
        <w:rPr>
          <w:rFonts w:ascii="Times New Roman" w:hAnsi="Times New Roman" w:cs="Times New Roman"/>
          <w:sz w:val="22"/>
          <w:szCs w:val="22"/>
        </w:rPr>
        <w:t>, the proposed rule violates the ACHP’s own statutory responsibility to encourage “public interest and participation in historic preservation.”  (54 U.S.C. § 304102(a)(2)).</w:t>
      </w:r>
    </w:p>
    <w:p w:rsidRPr="009E51D1" w:rsidR="009E51D1" w:rsidP="00EC52A8" w:rsidRDefault="009E51D1" w14:paraId="4F93C3C1" w14:textId="77777777">
      <w:pPr>
        <w:numPr>
          <w:ilvl w:val="0"/>
          <w:numId w:val="1"/>
        </w:numPr>
        <w:spacing w:after="0"/>
        <w:ind w:left="360"/>
        <w:rPr>
          <w:rFonts w:ascii="Times New Roman" w:hAnsi="Times New Roman" w:cs="Times New Roman"/>
          <w:sz w:val="22"/>
          <w:szCs w:val="22"/>
        </w:rPr>
      </w:pPr>
      <w:r w:rsidRPr="009E51D1">
        <w:rPr>
          <w:rFonts w:ascii="Times New Roman" w:hAnsi="Times New Roman" w:cs="Times New Roman"/>
          <w:sz w:val="22"/>
          <w:szCs w:val="22"/>
        </w:rPr>
        <w:t xml:space="preserve">The proposed rule eliminates the requirement to consult with Tribes for undertakings occurring off tribal land and removes all expectations of consultation with Tribes regarding the identification, evaluation, and consideration of effects to properties of religious and cultural significance to the Tribes. This is inconsistent with 54 U.S.C. § 302706 which requires the Federal Agency to consult with any Indian Tribe that attaches religious and cultural significance to a property. For Tribes in Virginia who are only recently reclaiming tribal land, this change will likely eliminate consultation with Tribes for most if not all projects in Virginia. </w:t>
      </w:r>
    </w:p>
    <w:p w:rsidRPr="009E51D1" w:rsidR="00037957" w:rsidP="00EC52A8" w:rsidRDefault="009E51D1" w14:paraId="6D05B25B" w14:textId="704AD5A6">
      <w:pPr>
        <w:pStyle w:val="ListParagraph"/>
        <w:numPr>
          <w:ilvl w:val="0"/>
          <w:numId w:val="1"/>
        </w:numPr>
        <w:spacing w:after="0"/>
        <w:ind w:left="360"/>
        <w:rPr>
          <w:rFonts w:ascii="Times New Roman" w:hAnsi="Times New Roman" w:cs="Times New Roman"/>
          <w:sz w:val="22"/>
          <w:szCs w:val="22"/>
        </w:rPr>
      </w:pPr>
      <w:r w:rsidRPr="1B1B0074" w:rsidR="40F31474">
        <w:rPr>
          <w:rFonts w:ascii="Times New Roman" w:hAnsi="Times New Roman" w:cs="Times New Roman"/>
          <w:sz w:val="22"/>
          <w:szCs w:val="22"/>
        </w:rPr>
        <w:t xml:space="preserve">The proposed rule narrows what historic properties are subject to Section 106. The proposed regulations disqualify </w:t>
      </w:r>
      <w:r w:rsidRPr="1B1B0074" w:rsidR="7FF371B4">
        <w:rPr>
          <w:rFonts w:ascii="Times New Roman" w:hAnsi="Times New Roman" w:cs="Times New Roman"/>
          <w:sz w:val="22"/>
          <w:szCs w:val="22"/>
        </w:rPr>
        <w:t xml:space="preserve">from consideration </w:t>
      </w:r>
      <w:r w:rsidRPr="1B1B0074" w:rsidR="40F31474">
        <w:rPr>
          <w:rFonts w:ascii="Times New Roman" w:hAnsi="Times New Roman" w:cs="Times New Roman"/>
          <w:sz w:val="22"/>
          <w:szCs w:val="22"/>
        </w:rPr>
        <w:t xml:space="preserve">properties that are not “geographically compact” or properties that are “landscapes.” This is inconsistent with the definition of historic properties in 54 U.S.C. § 300308. The NHPA </w:t>
      </w:r>
      <w:r w:rsidRPr="1B1B0074" w:rsidR="6D6EE26F">
        <w:rPr>
          <w:rFonts w:ascii="Times New Roman" w:hAnsi="Times New Roman" w:cs="Times New Roman"/>
          <w:sz w:val="22"/>
          <w:szCs w:val="22"/>
        </w:rPr>
        <w:t xml:space="preserve">applies </w:t>
      </w:r>
      <w:r w:rsidRPr="1B1B0074" w:rsidR="40F31474">
        <w:rPr>
          <w:rFonts w:ascii="Times New Roman" w:hAnsi="Times New Roman" w:cs="Times New Roman"/>
          <w:sz w:val="22"/>
          <w:szCs w:val="22"/>
        </w:rPr>
        <w:t>to all historic properties – the ACHP cannot, through regulation, disqualify</w:t>
      </w:r>
      <w:r w:rsidRPr="1B1B0074" w:rsidR="52400C6D">
        <w:rPr>
          <w:rFonts w:ascii="Times New Roman" w:hAnsi="Times New Roman" w:cs="Times New Roman"/>
          <w:sz w:val="22"/>
          <w:szCs w:val="22"/>
        </w:rPr>
        <w:t xml:space="preserve"> certain types of</w:t>
      </w:r>
      <w:r w:rsidRPr="1B1B0074" w:rsidR="40F31474">
        <w:rPr>
          <w:rFonts w:ascii="Times New Roman" w:hAnsi="Times New Roman" w:cs="Times New Roman"/>
          <w:sz w:val="22"/>
          <w:szCs w:val="22"/>
        </w:rPr>
        <w:t xml:space="preserve"> historic properties from consideration. The function of this exclusion in Virginia would be </w:t>
      </w:r>
      <w:r w:rsidRPr="1B1B0074" w:rsidR="02A5645E">
        <w:rPr>
          <w:rFonts w:ascii="Times New Roman" w:hAnsi="Times New Roman" w:cs="Times New Roman"/>
          <w:sz w:val="22"/>
          <w:szCs w:val="22"/>
        </w:rPr>
        <w:t xml:space="preserve">the </w:t>
      </w:r>
      <w:r w:rsidRPr="1B1B0074" w:rsidR="40F31474">
        <w:rPr>
          <w:rFonts w:ascii="Times New Roman" w:hAnsi="Times New Roman" w:cs="Times New Roman"/>
          <w:sz w:val="22"/>
          <w:szCs w:val="22"/>
        </w:rPr>
        <w:t>eliminat</w:t>
      </w:r>
      <w:r w:rsidRPr="1B1B0074" w:rsidR="27939411">
        <w:rPr>
          <w:rFonts w:ascii="Times New Roman" w:hAnsi="Times New Roman" w:cs="Times New Roman"/>
          <w:sz w:val="22"/>
          <w:szCs w:val="22"/>
        </w:rPr>
        <w:t>ion</w:t>
      </w:r>
      <w:r w:rsidRPr="1B1B0074" w:rsidR="40F31474">
        <w:rPr>
          <w:rFonts w:ascii="Times New Roman" w:hAnsi="Times New Roman" w:cs="Times New Roman"/>
          <w:sz w:val="22"/>
          <w:szCs w:val="22"/>
        </w:rPr>
        <w:t xml:space="preserve"> from consideration the numerous nationally significant Revolutionary and Civil War battlefields across Virginia, rural historic districts such as the Green Springs National Historic Landmark District, and places of historic, cultural, and religious significance to Tribes such as the Fones Cliff</w:t>
      </w:r>
      <w:r w:rsidRPr="1B1B0074" w:rsidR="3FD443CA">
        <w:rPr>
          <w:rFonts w:ascii="Times New Roman" w:hAnsi="Times New Roman" w:cs="Times New Roman"/>
          <w:sz w:val="22"/>
          <w:szCs w:val="22"/>
        </w:rPr>
        <w:t>s Traditional Cultural Place</w:t>
      </w:r>
      <w:r w:rsidRPr="1B1B0074" w:rsidR="3FD443CA">
        <w:rPr>
          <w:rFonts w:ascii="Times New Roman" w:hAnsi="Times New Roman" w:cs="Times New Roman"/>
          <w:sz w:val="22"/>
          <w:szCs w:val="22"/>
        </w:rPr>
        <w:t>.</w:t>
      </w:r>
    </w:p>
    <w:sectPr w:rsidRPr="009E51D1" w:rsidR="00037957">
      <w:footerReference w:type="default" r:id="rId8"/>
      <w:pgSz w:w="12240" w:h="15840" w:orient="portrait"/>
      <w:pgMar w:top="1440" w:right="1440" w:bottom="1440" w:left="1440" w:header="720" w:footer="720" w:gutter="0"/>
      <w:cols w:space="720"/>
      <w:docGrid w:linePitch="360"/>
      <w:headerReference w:type="default" r:id="R8e0332d1b62a453d"/>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5522F" w:rsidP="009E51D1" w:rsidRDefault="00D5522F" w14:paraId="78520FF3" w14:textId="77777777">
      <w:pPr>
        <w:spacing w:after="0" w:line="240" w:lineRule="auto"/>
      </w:pPr>
      <w:r>
        <w:separator/>
      </w:r>
    </w:p>
  </w:endnote>
  <w:endnote w:type="continuationSeparator" w:id="0">
    <w:p w:rsidR="00D5522F" w:rsidP="009E51D1" w:rsidRDefault="00D5522F" w14:paraId="0DA6482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E51D1" w:rsidR="009E51D1" w:rsidRDefault="009E51D1" w14:paraId="020A7E5F" w14:textId="33E989A4">
    <w:pPr>
      <w:pStyle w:val="Footer"/>
      <w:rPr>
        <w:rFonts w:ascii="Times New Roman" w:hAnsi="Times New Roman" w:cs="Times New Roman"/>
        <w:sz w:val="22"/>
        <w:szCs w:val="22"/>
      </w:rPr>
    </w:pPr>
    <w:r w:rsidRPr="248CDD55" w:rsidR="248CDD55">
      <w:rPr>
        <w:rFonts w:ascii="Times New Roman" w:hAnsi="Times New Roman" w:cs="Times New Roman"/>
        <w:sz w:val="22"/>
        <w:szCs w:val="22"/>
      </w:rPr>
      <w:t>In summary, t</w:t>
    </w:r>
    <w:r w:rsidRPr="248CDD55" w:rsidR="248CDD55">
      <w:rPr>
        <w:rFonts w:ascii="Times New Roman" w:hAnsi="Times New Roman" w:cs="Times New Roman"/>
        <w:sz w:val="22"/>
        <w:szCs w:val="22"/>
      </w:rPr>
      <w:t xml:space="preserve">he proposed rule will effectively </w:t>
    </w:r>
    <w:r w:rsidRPr="248CDD55" w:rsidR="248CDD55">
      <w:rPr>
        <w:rFonts w:ascii="Times New Roman" w:hAnsi="Times New Roman" w:cs="Times New Roman"/>
        <w:sz w:val="22"/>
        <w:szCs w:val="22"/>
      </w:rPr>
      <w:t>eliminate</w:t>
    </w:r>
    <w:r w:rsidRPr="248CDD55" w:rsidR="248CDD55">
      <w:rPr>
        <w:rFonts w:ascii="Times New Roman" w:hAnsi="Times New Roman" w:cs="Times New Roman"/>
        <w:sz w:val="22"/>
        <w:szCs w:val="22"/>
      </w:rPr>
      <w:t xml:space="preserve"> local, state, </w:t>
    </w:r>
    <w:r w:rsidRPr="248CDD55" w:rsidR="248CDD55">
      <w:rPr>
        <w:rFonts w:ascii="Times New Roman" w:hAnsi="Times New Roman" w:cs="Times New Roman"/>
        <w:sz w:val="22"/>
        <w:szCs w:val="22"/>
      </w:rPr>
      <w:t xml:space="preserve">Tribal, </w:t>
    </w:r>
    <w:r w:rsidRPr="248CDD55" w:rsidR="248CDD55">
      <w:rPr>
        <w:rFonts w:ascii="Times New Roman" w:hAnsi="Times New Roman" w:cs="Times New Roman"/>
        <w:sz w:val="22"/>
        <w:szCs w:val="22"/>
      </w:rPr>
      <w:t xml:space="preserve">and public input in Federal Agency decision making that will </w:t>
    </w:r>
    <w:r w:rsidRPr="248CDD55" w:rsidR="248CDD55">
      <w:rPr>
        <w:rFonts w:ascii="Times New Roman" w:hAnsi="Times New Roman" w:cs="Times New Roman"/>
        <w:sz w:val="22"/>
        <w:szCs w:val="22"/>
      </w:rPr>
      <w:t>impact</w:t>
    </w:r>
    <w:r w:rsidRPr="248CDD55" w:rsidR="248CDD55">
      <w:rPr>
        <w:rFonts w:ascii="Times New Roman" w:hAnsi="Times New Roman" w:cs="Times New Roman"/>
        <w:sz w:val="22"/>
        <w:szCs w:val="22"/>
      </w:rPr>
      <w:t xml:space="preserve"> historic properties and empower Federal Agency officials to make unilateral decisions without any input. Our Nation’s historic resources are finite and “the preservation of this irreplaceable heritage is in the public interest” (Section 1 of the NHPA); to remove the partnership with states, local </w:t>
    </w:r>
    <w:r w:rsidRPr="248CDD55" w:rsidR="248CDD55">
      <w:rPr>
        <w:rFonts w:ascii="Times New Roman" w:hAnsi="Times New Roman" w:cs="Times New Roman"/>
        <w:sz w:val="22"/>
        <w:szCs w:val="22"/>
      </w:rPr>
      <w:t xml:space="preserve">and Tribal </w:t>
    </w:r>
    <w:r w:rsidRPr="248CDD55" w:rsidR="248CDD55">
      <w:rPr>
        <w:rFonts w:ascii="Times New Roman" w:hAnsi="Times New Roman" w:cs="Times New Roman"/>
        <w:sz w:val="22"/>
        <w:szCs w:val="22"/>
      </w:rPr>
      <w:t>governments, and public from this process is contrary to the stated intent and policy of the Act</w:t>
    </w:r>
    <w:r w:rsidRPr="248CDD55" w:rsidR="248CDD55">
      <w:rPr>
        <w:rFonts w:ascii="Times New Roman" w:hAnsi="Times New Roman" w:cs="Times New Roman"/>
        <w:sz w:val="22"/>
        <w:szCs w:val="2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5522F" w:rsidP="009E51D1" w:rsidRDefault="00D5522F" w14:paraId="1C603832" w14:textId="77777777">
      <w:pPr>
        <w:spacing w:after="0" w:line="240" w:lineRule="auto"/>
      </w:pPr>
      <w:r>
        <w:separator/>
      </w:r>
    </w:p>
  </w:footnote>
  <w:footnote w:type="continuationSeparator" w:id="0">
    <w:p w:rsidR="00D5522F" w:rsidP="009E51D1" w:rsidRDefault="00D5522F" w14:paraId="0E4E1495" w14:textId="77777777">
      <w:pPr>
        <w:spacing w:after="0" w:line="240" w:lineRule="auto"/>
      </w:pPr>
      <w:r>
        <w:continuationSeparator/>
      </w:r>
    </w:p>
  </w:footnote>
</w:footnotes>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4665"/>
      <w:gridCol w:w="4680"/>
    </w:tblGrid>
    <w:tr w:rsidR="1B1B0074" w:rsidTr="1B1B0074" w14:paraId="0BD930A6">
      <w:trPr>
        <w:trHeight w:val="300"/>
      </w:trPr>
      <w:tc>
        <w:tcPr>
          <w:tcW w:w="4665" w:type="dxa"/>
          <w:tcMar/>
        </w:tcPr>
        <w:p w:rsidR="1B1B0074" w:rsidP="1B1B0074" w:rsidRDefault="1B1B0074" w14:paraId="329D0262" w14:textId="1F31ABF1">
          <w:pPr>
            <w:pStyle w:val="Header"/>
            <w:ind w:left="-115"/>
            <w:jc w:val="left"/>
            <w:rPr>
              <w:rFonts w:ascii="Times New Roman" w:hAnsi="Times New Roman" w:cs="Times New Roman"/>
              <w:sz w:val="22"/>
              <w:szCs w:val="22"/>
            </w:rPr>
          </w:pPr>
          <w:r w:rsidR="1B1B0074">
            <w:drawing>
              <wp:inline wp14:editId="52326234" wp14:anchorId="62CEA05C">
                <wp:extent cx="2647950" cy="418521"/>
                <wp:effectExtent l="0" t="0" r="0" b="635"/>
                <wp:docPr id="281837192"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0" name="Picture 1"/>
                        <pic:cNvPicPr xmlns:pic="http://schemas.openxmlformats.org/drawingml/2006/picture">
                          <a:picLocks xmlns:a="http://schemas.openxmlformats.org/drawingml/2006/main" noChangeAspect="1" noChangeArrowheads="1"/>
                        </pic:cNvPicPr>
                      </pic:nvPicPr>
                      <pic:blipFill xmlns:pic="http://schemas.openxmlformats.org/drawingml/2006/picture">
                        <a:blip xmlns:r="http://schemas.openxmlformats.org/officeDocument/2006/relationships" xmlns:a="http://schemas.openxmlformats.org/drawingml/2006/main" r:embed="rId7" cstate="print">
                          <a:extLst xmlns:a="http://schemas.openxmlformats.org/drawingml/2006/main">
                            <a:ext xmlns:a="http://schemas.openxmlformats.org/drawingml/2006/main" uri="{28A0092B-C50C-407E-A947-70E740481C1C}">
                              <a14:useLocalDpi xmlns:a14="http://schemas.microsoft.com/office/drawing/2010/main" val="0"/>
                            </a:ext>
                          </a:extLst>
                        </a:blip>
                        <a:srcRect xmlns:a="http://schemas.openxmlformats.org/drawingml/2006/main"/>
                        <a:stretch xmlns:a="http://schemas.openxmlformats.org/drawingml/2006/main">
                          <a:fillRect xmlns:a="http://schemas.openxmlformats.org/drawingml/2006/main"/>
                        </a:stretch>
                      </pic:blipFill>
                      <pic:spPr xmlns:pic="http://schemas.openxmlformats.org/drawingml/2006/picture" bwMode="auto">
                        <a:xfrm xmlns:a="http://schemas.openxmlformats.org/drawingml/2006/main">
                          <a:off xmlns:a="http://schemas.openxmlformats.org/drawingml/2006/main" x="0" y="0"/>
                          <a:ext xmlns:a="http://schemas.openxmlformats.org/drawingml/2006/main" cx="2675071" cy="422808"/>
                        </a:xfrm>
                        <a:prstGeom xmlns:a="http://schemas.openxmlformats.org/drawingml/2006/main" prst="rect">
                          <a:avLst xmlns:a="http://schemas.openxmlformats.org/drawingml/2006/main"/>
                        </a:prstGeom>
                        <a:noFill xmlns:a="http://schemas.openxmlformats.org/drawingml/2006/main"/>
                        <a:ln xmlns:a="http://schemas.openxmlformats.org/drawingml/2006/main">
                          <a:noFill xmlns:a="http://schemas.openxmlformats.org/drawingml/2006/main"/>
                        </a:ln>
                      </pic:spPr>
                    </pic:pic>
                  </a:graphicData>
                </a:graphic>
              </wp:inline>
            </w:drawing>
          </w:r>
        </w:p>
      </w:tc>
      <w:tc>
        <w:tcPr>
          <w:tcW w:w="4680" w:type="dxa"/>
          <w:tcMar/>
          <w:vAlign w:val="center"/>
        </w:tcPr>
        <w:p w:rsidR="1B1B0074" w:rsidP="1B1B0074" w:rsidRDefault="1B1B0074" w14:paraId="258DA1B1" w14:textId="4A790767">
          <w:pPr>
            <w:pStyle w:val="Header"/>
            <w:ind w:right="-115"/>
            <w:jc w:val="center"/>
            <w:rPr>
              <w:rFonts w:ascii="Times New Roman" w:hAnsi="Times New Roman" w:cs="Times New Roman"/>
              <w:b w:val="1"/>
              <w:bCs w:val="1"/>
              <w:color w:val="002060"/>
              <w:sz w:val="32"/>
              <w:szCs w:val="32"/>
            </w:rPr>
          </w:pPr>
          <w:r w:rsidRPr="1B1B0074" w:rsidR="1B1B0074">
            <w:rPr>
              <w:rFonts w:ascii="Times New Roman" w:hAnsi="Times New Roman" w:cs="Times New Roman"/>
              <w:b w:val="1"/>
              <w:bCs w:val="1"/>
              <w:color w:val="002060"/>
              <w:sz w:val="32"/>
              <w:szCs w:val="32"/>
            </w:rPr>
            <w:t>36 CFR PART 800 Revisions</w:t>
          </w:r>
        </w:p>
        <w:p w:rsidR="1B1B0074" w:rsidP="1B1B0074" w:rsidRDefault="1B1B0074" w14:paraId="4A09A241" w14:textId="1FF6DD58">
          <w:pPr>
            <w:pStyle w:val="Header"/>
            <w:ind w:right="-115"/>
            <w:jc w:val="center"/>
            <w:rPr>
              <w:rFonts w:ascii="Times New Roman" w:hAnsi="Times New Roman" w:cs="Times New Roman"/>
              <w:b w:val="1"/>
              <w:bCs w:val="1"/>
              <w:color w:val="002060"/>
              <w:sz w:val="32"/>
              <w:szCs w:val="32"/>
            </w:rPr>
          </w:pPr>
          <w:r w:rsidRPr="1B1B0074" w:rsidR="1B1B0074">
            <w:rPr>
              <w:rFonts w:ascii="Times New Roman" w:hAnsi="Times New Roman" w:cs="Times New Roman"/>
              <w:b w:val="1"/>
              <w:bCs w:val="1"/>
              <w:color w:val="002060"/>
              <w:sz w:val="32"/>
              <w:szCs w:val="32"/>
            </w:rPr>
            <w:t>Talking Points</w:t>
          </w:r>
        </w:p>
      </w:tc>
    </w:tr>
  </w:tbl>
  <w:p w:rsidR="1B1B0074" w:rsidP="1B1B0074" w:rsidRDefault="1B1B0074" w14:paraId="11082888" w14:textId="3F01171F">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490A5E"/>
    <w:multiLevelType w:val="hybridMultilevel"/>
    <w:tmpl w:val="D6AE5F5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29273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1D1"/>
    <w:rsid w:val="00037957"/>
    <w:rsid w:val="002069E4"/>
    <w:rsid w:val="002E15F3"/>
    <w:rsid w:val="006F4C03"/>
    <w:rsid w:val="009E51D1"/>
    <w:rsid w:val="00D5522F"/>
    <w:rsid w:val="00EC10CF"/>
    <w:rsid w:val="00EC52A8"/>
    <w:rsid w:val="02A5645E"/>
    <w:rsid w:val="03FED2FC"/>
    <w:rsid w:val="06D55954"/>
    <w:rsid w:val="0A293FA5"/>
    <w:rsid w:val="0DC68FCE"/>
    <w:rsid w:val="1728C5D0"/>
    <w:rsid w:val="17655665"/>
    <w:rsid w:val="1A91A0F0"/>
    <w:rsid w:val="1B1B0074"/>
    <w:rsid w:val="248CDD55"/>
    <w:rsid w:val="2545F0E4"/>
    <w:rsid w:val="27939411"/>
    <w:rsid w:val="2A2D07B1"/>
    <w:rsid w:val="2A74FCB7"/>
    <w:rsid w:val="2AB53A9A"/>
    <w:rsid w:val="2CD6D27F"/>
    <w:rsid w:val="2DD9CF9A"/>
    <w:rsid w:val="38876458"/>
    <w:rsid w:val="3B9DA966"/>
    <w:rsid w:val="3C70A153"/>
    <w:rsid w:val="3FD443CA"/>
    <w:rsid w:val="40E1746D"/>
    <w:rsid w:val="40F31474"/>
    <w:rsid w:val="48DB2052"/>
    <w:rsid w:val="49C20986"/>
    <w:rsid w:val="51E7B2F6"/>
    <w:rsid w:val="52400C6D"/>
    <w:rsid w:val="55C8230E"/>
    <w:rsid w:val="6385C69E"/>
    <w:rsid w:val="650A14B2"/>
    <w:rsid w:val="674F76BB"/>
    <w:rsid w:val="6C1279EF"/>
    <w:rsid w:val="6D6EE26F"/>
    <w:rsid w:val="76D326FE"/>
    <w:rsid w:val="77F10277"/>
    <w:rsid w:val="7A48BE03"/>
    <w:rsid w:val="7CAD275B"/>
    <w:rsid w:val="7E07BCC0"/>
    <w:rsid w:val="7FF37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2F7C4"/>
  <w15:chartTrackingRefBased/>
  <w15:docId w15:val="{3E980CF5-398D-4855-8688-80D480615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E51D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51D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51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51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51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51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51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51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51D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E51D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9E51D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9E51D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9E51D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9E51D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9E51D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E51D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E51D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E51D1"/>
    <w:rPr>
      <w:rFonts w:eastAsiaTheme="majorEastAsia" w:cstheme="majorBidi"/>
      <w:color w:val="272727" w:themeColor="text1" w:themeTint="D8"/>
    </w:rPr>
  </w:style>
  <w:style w:type="paragraph" w:styleId="Title">
    <w:name w:val="Title"/>
    <w:basedOn w:val="Normal"/>
    <w:next w:val="Normal"/>
    <w:link w:val="TitleChar"/>
    <w:uiPriority w:val="10"/>
    <w:qFormat/>
    <w:rsid w:val="009E51D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E51D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E51D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E51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51D1"/>
    <w:pPr>
      <w:spacing w:before="160"/>
      <w:jc w:val="center"/>
    </w:pPr>
    <w:rPr>
      <w:i/>
      <w:iCs/>
      <w:color w:val="404040" w:themeColor="text1" w:themeTint="BF"/>
    </w:rPr>
  </w:style>
  <w:style w:type="character" w:styleId="QuoteChar" w:customStyle="1">
    <w:name w:val="Quote Char"/>
    <w:basedOn w:val="DefaultParagraphFont"/>
    <w:link w:val="Quote"/>
    <w:uiPriority w:val="29"/>
    <w:rsid w:val="009E51D1"/>
    <w:rPr>
      <w:i/>
      <w:iCs/>
      <w:color w:val="404040" w:themeColor="text1" w:themeTint="BF"/>
    </w:rPr>
  </w:style>
  <w:style w:type="paragraph" w:styleId="ListParagraph">
    <w:name w:val="List Paragraph"/>
    <w:basedOn w:val="Normal"/>
    <w:uiPriority w:val="34"/>
    <w:qFormat/>
    <w:rsid w:val="009E51D1"/>
    <w:pPr>
      <w:ind w:left="720"/>
      <w:contextualSpacing/>
    </w:pPr>
  </w:style>
  <w:style w:type="character" w:styleId="IntenseEmphasis">
    <w:name w:val="Intense Emphasis"/>
    <w:basedOn w:val="DefaultParagraphFont"/>
    <w:uiPriority w:val="21"/>
    <w:qFormat/>
    <w:rsid w:val="009E51D1"/>
    <w:rPr>
      <w:i/>
      <w:iCs/>
      <w:color w:val="0F4761" w:themeColor="accent1" w:themeShade="BF"/>
    </w:rPr>
  </w:style>
  <w:style w:type="paragraph" w:styleId="IntenseQuote">
    <w:name w:val="Intense Quote"/>
    <w:basedOn w:val="Normal"/>
    <w:next w:val="Normal"/>
    <w:link w:val="IntenseQuoteChar"/>
    <w:uiPriority w:val="30"/>
    <w:qFormat/>
    <w:rsid w:val="009E51D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9E51D1"/>
    <w:rPr>
      <w:i/>
      <w:iCs/>
      <w:color w:val="0F4761" w:themeColor="accent1" w:themeShade="BF"/>
    </w:rPr>
  </w:style>
  <w:style w:type="character" w:styleId="IntenseReference">
    <w:name w:val="Intense Reference"/>
    <w:basedOn w:val="DefaultParagraphFont"/>
    <w:uiPriority w:val="32"/>
    <w:qFormat/>
    <w:rsid w:val="009E51D1"/>
    <w:rPr>
      <w:b/>
      <w:bCs/>
      <w:smallCaps/>
      <w:color w:val="0F4761" w:themeColor="accent1" w:themeShade="BF"/>
      <w:spacing w:val="5"/>
    </w:rPr>
  </w:style>
  <w:style w:type="paragraph" w:styleId="Header">
    <w:name w:val="header"/>
    <w:basedOn w:val="Normal"/>
    <w:link w:val="HeaderChar"/>
    <w:uiPriority w:val="99"/>
    <w:unhideWhenUsed/>
    <w:rsid w:val="009E51D1"/>
    <w:pPr>
      <w:tabs>
        <w:tab w:val="center" w:pos="4680"/>
        <w:tab w:val="right" w:pos="9360"/>
      </w:tabs>
      <w:spacing w:after="0" w:line="240" w:lineRule="auto"/>
    </w:pPr>
  </w:style>
  <w:style w:type="character" w:styleId="HeaderChar" w:customStyle="1">
    <w:name w:val="Header Char"/>
    <w:basedOn w:val="DefaultParagraphFont"/>
    <w:link w:val="Header"/>
    <w:uiPriority w:val="99"/>
    <w:rsid w:val="009E51D1"/>
  </w:style>
  <w:style w:type="paragraph" w:styleId="Footer">
    <w:name w:val="footer"/>
    <w:basedOn w:val="Normal"/>
    <w:link w:val="FooterChar"/>
    <w:uiPriority w:val="99"/>
    <w:unhideWhenUsed/>
    <w:rsid w:val="009E51D1"/>
    <w:pPr>
      <w:tabs>
        <w:tab w:val="center" w:pos="4680"/>
        <w:tab w:val="right" w:pos="9360"/>
      </w:tabs>
      <w:spacing w:after="0" w:line="240" w:lineRule="auto"/>
    </w:pPr>
  </w:style>
  <w:style w:type="character" w:styleId="FooterChar" w:customStyle="1">
    <w:name w:val="Footer Char"/>
    <w:basedOn w:val="DefaultParagraphFont"/>
    <w:link w:val="Footer"/>
    <w:uiPriority w:val="99"/>
    <w:rsid w:val="009E51D1"/>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eader" Target="header.xml" Id="R8e0332d1b62a453d" /></Relationships>
</file>

<file path=word/_rels/header.xml.rels>&#65279;<?xml version="1.0" encoding="utf-8"?><Relationships xmlns="http://schemas.openxmlformats.org/package/2006/relationships"><Relationship Type="http://schemas.openxmlformats.org/officeDocument/2006/relationships/image" Target="/media/image2.png" Id="rId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891981AF1FF243BD56887E5AEDC269" ma:contentTypeVersion="10" ma:contentTypeDescription="Create a new document." ma:contentTypeScope="" ma:versionID="6978bdc896b241cdc163ebc1508b0152">
  <xsd:schema xmlns:xsd="http://www.w3.org/2001/XMLSchema" xmlns:xs="http://www.w3.org/2001/XMLSchema" xmlns:p="http://schemas.microsoft.com/office/2006/metadata/properties" xmlns:ns2="a9b870d9-810b-4234-adbb-5d3d6ed968ad" xmlns:ns3="94f5bb10-bff0-4e84-9e17-8557f52cbcda" targetNamespace="http://schemas.microsoft.com/office/2006/metadata/properties" ma:root="true" ma:fieldsID="a668ff9dfb91f0664c6dbf2d9d434717" ns2:_="" ns3:_="">
    <xsd:import namespace="a9b870d9-810b-4234-adbb-5d3d6ed968ad"/>
    <xsd:import namespace="94f5bb10-bff0-4e84-9e17-8557f52cbc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b870d9-810b-4234-adbb-5d3d6ed968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f5bb10-bff0-4e84-9e17-8557f52cbcd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d92bf3a-3e87-43d7-8ae1-0b8f9fdf95c9}" ma:internalName="TaxCatchAll" ma:showField="CatchAllData" ma:web="94f5bb10-bff0-4e84-9e17-8557f52cbc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4f5bb10-bff0-4e84-9e17-8557f52cbcda" xsi:nil="true"/>
    <lcf76f155ced4ddcb4097134ff3c332f xmlns="a9b870d9-810b-4234-adbb-5d3d6ed968a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4D10CF-1F1F-4B06-BBE3-3FEC90F07DE3}"/>
</file>

<file path=customXml/itemProps2.xml><?xml version="1.0" encoding="utf-8"?>
<ds:datastoreItem xmlns:ds="http://schemas.openxmlformats.org/officeDocument/2006/customXml" ds:itemID="{5631C4EB-9332-465E-92ED-B5A68EE42AAE}"/>
</file>

<file path=customXml/itemProps3.xml><?xml version="1.0" encoding="utf-8"?>
<ds:datastoreItem xmlns:ds="http://schemas.openxmlformats.org/officeDocument/2006/customXml" ds:itemID="{4F9DDC0D-8CCB-468D-8610-50DF72357D4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Henderson, Samantha (DHR)</dc:creator>
  <cp:keywords/>
  <dc:description/>
  <cp:lastModifiedBy>Kirchen, Roger (DHR)</cp:lastModifiedBy>
  <cp:revision>3</cp:revision>
  <dcterms:created xsi:type="dcterms:W3CDTF">2026-08-11T18:21:00Z</dcterms:created>
  <dcterms:modified xsi:type="dcterms:W3CDTF">2026-08-13T19:55:52Z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0x01010024891981AF1FF243BD56887E5AEDC269</vt:lpwstr>
  </property>
</Properties>
</file>